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A8" w:rsidRDefault="00F35E63" w:rsidP="00F35E63">
      <w:pPr>
        <w:pStyle w:val="Default"/>
        <w:spacing w:after="120"/>
        <w:ind w:right="40" w:firstLine="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ALLEGATO F</w:t>
      </w:r>
    </w:p>
    <w:p w:rsidR="00F35E63" w:rsidRDefault="00F35E63" w:rsidP="00F35E63">
      <w:pPr>
        <w:rPr>
          <w:sz w:val="24"/>
          <w:szCs w:val="24"/>
        </w:rPr>
      </w:pPr>
    </w:p>
    <w:p w:rsidR="00F35E63" w:rsidRDefault="00F35E63" w:rsidP="00F35E63">
      <w:pPr>
        <w:rPr>
          <w:sz w:val="24"/>
          <w:szCs w:val="24"/>
        </w:rPr>
      </w:pPr>
    </w:p>
    <w:p w:rsidR="00F35E63" w:rsidRPr="00ED3826" w:rsidRDefault="00F35E63" w:rsidP="00F35E63">
      <w:pPr>
        <w:rPr>
          <w:b/>
          <w:sz w:val="32"/>
          <w:szCs w:val="32"/>
        </w:rPr>
      </w:pPr>
      <w:r w:rsidRPr="00ED3826">
        <w:rPr>
          <w:b/>
          <w:sz w:val="32"/>
          <w:szCs w:val="32"/>
        </w:rPr>
        <w:t>Modello di offerta tecnica e schema di compilazione caratteristiche tecniche</w:t>
      </w:r>
    </w:p>
    <w:p w:rsidR="00F35E63" w:rsidRDefault="00F35E63" w:rsidP="00AA6977">
      <w:pPr>
        <w:pStyle w:val="Default"/>
        <w:jc w:val="center"/>
        <w:rPr>
          <w:i/>
          <w:iCs/>
          <w:highlight w:val="yellow"/>
        </w:rPr>
      </w:pPr>
    </w:p>
    <w:p w:rsidR="001D4DA9" w:rsidRDefault="001D4DA9" w:rsidP="00AA6977">
      <w:pPr>
        <w:pStyle w:val="Default"/>
        <w:jc w:val="center"/>
      </w:pPr>
    </w:p>
    <w:p w:rsidR="00900AA8" w:rsidRDefault="00900AA8" w:rsidP="00AA6977">
      <w:pPr>
        <w:pStyle w:val="Default"/>
        <w:jc w:val="both"/>
      </w:pPr>
    </w:p>
    <w:p w:rsidR="00900AA8" w:rsidRPr="00CE7212" w:rsidRDefault="00900AA8" w:rsidP="00AA6977">
      <w:pPr>
        <w:pStyle w:val="Default"/>
        <w:jc w:val="both"/>
        <w:rPr>
          <w:b/>
        </w:rPr>
      </w:pPr>
      <w:r w:rsidRPr="00CE7212">
        <w:rPr>
          <w:b/>
        </w:rPr>
        <w:t>Procedura aperta ai sensi del D.Lgs. n.163/2006 e s.m.i. per l’affidamento dei servizi di sviluppo</w:t>
      </w:r>
      <w:r w:rsidR="00046DF4" w:rsidRPr="00CE7212">
        <w:rPr>
          <w:b/>
        </w:rPr>
        <w:t>,</w:t>
      </w:r>
      <w:r w:rsidRPr="00CE7212">
        <w:rPr>
          <w:b/>
        </w:rPr>
        <w:t xml:space="preserve"> manutenzione software ed assis</w:t>
      </w:r>
      <w:r w:rsidR="00046DF4" w:rsidRPr="00CE7212">
        <w:rPr>
          <w:b/>
        </w:rPr>
        <w:t>t</w:t>
      </w:r>
      <w:r w:rsidRPr="00CE7212">
        <w:rPr>
          <w:b/>
        </w:rPr>
        <w:t>enza in ambiente SAP.</w:t>
      </w:r>
    </w:p>
    <w:p w:rsidR="00383CB9" w:rsidRDefault="00383CB9" w:rsidP="00AA6977">
      <w:pPr>
        <w:pStyle w:val="Default"/>
        <w:jc w:val="both"/>
      </w:pPr>
    </w:p>
    <w:p w:rsidR="00383CB9" w:rsidRDefault="00383CB9" w:rsidP="00AA6977">
      <w:pPr>
        <w:pStyle w:val="Default"/>
        <w:jc w:val="both"/>
      </w:pPr>
    </w:p>
    <w:p w:rsidR="00383CB9" w:rsidRDefault="00383CB9" w:rsidP="00383CB9">
      <w:pPr>
        <w:pStyle w:val="Default"/>
        <w:numPr>
          <w:ilvl w:val="0"/>
          <w:numId w:val="4"/>
        </w:numPr>
        <w:tabs>
          <w:tab w:val="left" w:pos="284"/>
        </w:tabs>
        <w:ind w:left="0" w:firstLine="0"/>
        <w:jc w:val="both"/>
      </w:pPr>
      <w:r>
        <w:t>PREMESSA</w:t>
      </w:r>
    </w:p>
    <w:p w:rsidR="00383CB9" w:rsidRPr="00383CB9" w:rsidRDefault="00383CB9" w:rsidP="00383CB9">
      <w:pPr>
        <w:pStyle w:val="Default"/>
        <w:tabs>
          <w:tab w:val="left" w:pos="284"/>
        </w:tabs>
        <w:ind w:left="284" w:hanging="284"/>
        <w:jc w:val="both"/>
        <w:rPr>
          <w:i/>
        </w:rPr>
      </w:pPr>
      <w:r>
        <w:tab/>
        <w:t>(</w:t>
      </w:r>
      <w:r w:rsidRPr="00383CB9">
        <w:rPr>
          <w:i/>
        </w:rPr>
        <w:t>Il concorrente indichi, tra l’altro, quale parte della documentazione presentata, ritiene coperta di riservatezza, con riferimento a marchi, know-how, brevetti ecc..</w:t>
      </w:r>
      <w:r w:rsidR="00F27414">
        <w:rPr>
          <w:i/>
        </w:rPr>
        <w:t>)</w:t>
      </w:r>
    </w:p>
    <w:p w:rsidR="00383CB9" w:rsidRDefault="00383CB9" w:rsidP="00383CB9">
      <w:pPr>
        <w:pStyle w:val="Default"/>
        <w:tabs>
          <w:tab w:val="left" w:pos="284"/>
        </w:tabs>
        <w:ind w:left="284" w:hanging="284"/>
        <w:jc w:val="both"/>
      </w:pPr>
    </w:p>
    <w:p w:rsidR="00383CB9" w:rsidRDefault="00383CB9" w:rsidP="00383CB9">
      <w:pPr>
        <w:pStyle w:val="Default"/>
        <w:tabs>
          <w:tab w:val="left" w:pos="284"/>
        </w:tabs>
        <w:jc w:val="both"/>
      </w:pPr>
      <w:r w:rsidRPr="00383CB9">
        <w:t>2</w:t>
      </w:r>
      <w:r w:rsidR="009A020A">
        <w:tab/>
      </w:r>
      <w:r>
        <w:t>PRESENTAZIONE E DESCRIZIONE OFFERENTE (</w:t>
      </w:r>
      <w:r w:rsidRPr="00383CB9">
        <w:rPr>
          <w:i/>
        </w:rPr>
        <w:t>max 2 pagine</w:t>
      </w:r>
      <w:r>
        <w:t>)</w:t>
      </w:r>
    </w:p>
    <w:p w:rsidR="00383CB9" w:rsidRDefault="00383CB9" w:rsidP="00383CB9">
      <w:pPr>
        <w:pStyle w:val="Default"/>
        <w:tabs>
          <w:tab w:val="left" w:pos="284"/>
        </w:tabs>
        <w:jc w:val="both"/>
      </w:pPr>
    </w:p>
    <w:p w:rsidR="009A020A" w:rsidRDefault="009A020A" w:rsidP="00383CB9">
      <w:pPr>
        <w:pStyle w:val="Default"/>
        <w:tabs>
          <w:tab w:val="left" w:pos="284"/>
        </w:tabs>
        <w:jc w:val="both"/>
      </w:pPr>
      <w:r>
        <w:t>3</w:t>
      </w:r>
      <w:r>
        <w:tab/>
        <w:t xml:space="preserve">SINTESI DELLA PROPOSTA </w:t>
      </w:r>
      <w:proofErr w:type="spellStart"/>
      <w:r>
        <w:t>DI</w:t>
      </w:r>
      <w:proofErr w:type="spellEnd"/>
      <w:r>
        <w:t xml:space="preserve"> PROGETTO PER L’EROGAZIONE DEL SERVIZIO</w:t>
      </w:r>
    </w:p>
    <w:p w:rsidR="009A020A" w:rsidRDefault="009A020A" w:rsidP="00383CB9">
      <w:pPr>
        <w:pStyle w:val="Default"/>
        <w:tabs>
          <w:tab w:val="left" w:pos="284"/>
        </w:tabs>
        <w:jc w:val="both"/>
      </w:pPr>
    </w:p>
    <w:p w:rsidR="00383CB9" w:rsidRDefault="009A020A" w:rsidP="009A020A">
      <w:pPr>
        <w:pStyle w:val="Default"/>
        <w:tabs>
          <w:tab w:val="left" w:pos="284"/>
        </w:tabs>
        <w:ind w:left="284" w:hanging="284"/>
        <w:jc w:val="both"/>
      </w:pPr>
      <w:r>
        <w:t>4</w:t>
      </w:r>
      <w:r w:rsidR="00383CB9">
        <w:tab/>
      </w:r>
      <w:r w:rsidRPr="009A020A">
        <w:rPr>
          <w:lang w:eastAsia="it-IT"/>
        </w:rPr>
        <w:t>MODELLO ORGANIZZATIVO, SOLUZIONI PER LA GESTIONE DEL RISCHIO, DELLA QUALITÀ E DELLA FLESSIBILITÀ</w:t>
      </w:r>
      <w:r w:rsidR="00383CB9">
        <w:t xml:space="preserve"> </w:t>
      </w:r>
    </w:p>
    <w:p w:rsidR="00016FBF" w:rsidRDefault="00F27414" w:rsidP="009A020A">
      <w:pPr>
        <w:pStyle w:val="Default"/>
        <w:tabs>
          <w:tab w:val="left" w:pos="284"/>
        </w:tabs>
        <w:ind w:left="284"/>
        <w:jc w:val="both"/>
        <w:rPr>
          <w:i/>
        </w:rPr>
      </w:pPr>
      <w:r>
        <w:rPr>
          <w:i/>
        </w:rPr>
        <w:t>(</w:t>
      </w:r>
      <w:r w:rsidR="000B4879" w:rsidRPr="00C44A1E">
        <w:rPr>
          <w:i/>
        </w:rPr>
        <w:t>Descrivere</w:t>
      </w:r>
      <w:r w:rsidR="00016FBF">
        <w:rPr>
          <w:i/>
        </w:rPr>
        <w:t xml:space="preserve"> la struttura organizzativa</w:t>
      </w:r>
      <w:r w:rsidR="000B4879" w:rsidRPr="00C44A1E">
        <w:rPr>
          <w:i/>
        </w:rPr>
        <w:t xml:space="preserve"> proposta per </w:t>
      </w:r>
      <w:r w:rsidR="00016FBF">
        <w:rPr>
          <w:i/>
        </w:rPr>
        <w:t>il governo della fornitura per l’erogazione del servizio (Service Management). Descrivere inoltre l’organizzazione del lavoro, con riferimento al contesto tecnico organizzativo della Stazione Appaltante descritto nel Capitolato Tecnico.</w:t>
      </w:r>
    </w:p>
    <w:p w:rsidR="000B4879" w:rsidRPr="00C44A1E" w:rsidRDefault="00016FBF" w:rsidP="009A020A">
      <w:pPr>
        <w:pStyle w:val="Default"/>
        <w:tabs>
          <w:tab w:val="left" w:pos="284"/>
        </w:tabs>
        <w:ind w:left="284"/>
        <w:jc w:val="both"/>
        <w:rPr>
          <w:i/>
        </w:rPr>
      </w:pPr>
      <w:r>
        <w:rPr>
          <w:i/>
        </w:rPr>
        <w:t>Indicare</w:t>
      </w:r>
      <w:r w:rsidRPr="00C44A1E">
        <w:rPr>
          <w:i/>
        </w:rPr>
        <w:t xml:space="preserve"> </w:t>
      </w:r>
      <w:r>
        <w:rPr>
          <w:i/>
        </w:rPr>
        <w:t xml:space="preserve">gli </w:t>
      </w:r>
      <w:r w:rsidR="000B4879" w:rsidRPr="00C44A1E">
        <w:rPr>
          <w:i/>
        </w:rPr>
        <w:t>aspetti di carattere generale nonché specifici ruoli,</w:t>
      </w:r>
      <w:r>
        <w:rPr>
          <w:i/>
        </w:rPr>
        <w:t xml:space="preserve"> anche</w:t>
      </w:r>
      <w:r w:rsidR="000B4879" w:rsidRPr="00C44A1E">
        <w:rPr>
          <w:i/>
        </w:rPr>
        <w:t xml:space="preserve"> aggiuntivi rispetto a quanto previsto nel Capitolato </w:t>
      </w:r>
      <w:r w:rsidR="00F27414" w:rsidRPr="00C44A1E">
        <w:rPr>
          <w:i/>
        </w:rPr>
        <w:t>Tecnico</w:t>
      </w:r>
      <w:r w:rsidR="000B4879" w:rsidRPr="00C44A1E">
        <w:rPr>
          <w:i/>
        </w:rPr>
        <w:t>, che il concorrente si impegna ad impiegare p</w:t>
      </w:r>
      <w:r>
        <w:rPr>
          <w:i/>
        </w:rPr>
        <w:t>e</w:t>
      </w:r>
      <w:r w:rsidR="000B4879" w:rsidRPr="00C44A1E">
        <w:rPr>
          <w:i/>
        </w:rPr>
        <w:t>r la gestione degli aspetti di governo ed e</w:t>
      </w:r>
      <w:r>
        <w:rPr>
          <w:i/>
        </w:rPr>
        <w:t>roga</w:t>
      </w:r>
      <w:r w:rsidR="000B4879" w:rsidRPr="00C44A1E">
        <w:rPr>
          <w:i/>
        </w:rPr>
        <w:t>zione dei servizi, dei rapporti con la committenza e l’utenza, fornendo l’indicazione delle aree di competenza</w:t>
      </w:r>
      <w:r w:rsidR="00C44A1E" w:rsidRPr="00C44A1E">
        <w:rPr>
          <w:i/>
        </w:rPr>
        <w:t xml:space="preserve"> delle singole aziende, o unità operative, in caso di RTI o subappalto</w:t>
      </w:r>
      <w:r w:rsidR="00F35E63">
        <w:rPr>
          <w:i/>
        </w:rPr>
        <w:t>.</w:t>
      </w:r>
    </w:p>
    <w:p w:rsidR="00C44A1E" w:rsidRPr="00C44A1E" w:rsidRDefault="00C44A1E" w:rsidP="00F35E63">
      <w:pPr>
        <w:pStyle w:val="Default"/>
        <w:tabs>
          <w:tab w:val="left" w:pos="284"/>
        </w:tabs>
        <w:ind w:left="284"/>
        <w:jc w:val="both"/>
        <w:rPr>
          <w:i/>
        </w:rPr>
      </w:pPr>
      <w:r w:rsidRPr="00C44A1E">
        <w:rPr>
          <w:i/>
        </w:rPr>
        <w:t>Descrivere l’organizzazione proposta per l’erogazione dei servizi, anche in funzione dei processi gestionali e del contesto tecnologico</w:t>
      </w:r>
      <w:r w:rsidR="00016FBF">
        <w:rPr>
          <w:i/>
        </w:rPr>
        <w:t xml:space="preserve"> e organizzativo di riferimento descritti nel Capitolato Tecnico.</w:t>
      </w:r>
    </w:p>
    <w:p w:rsidR="00C44A1E" w:rsidRPr="00C65EF1" w:rsidRDefault="00C65EF1" w:rsidP="00C44A1E">
      <w:pPr>
        <w:pStyle w:val="Default"/>
        <w:ind w:left="284"/>
        <w:jc w:val="both"/>
        <w:rPr>
          <w:i/>
        </w:rPr>
      </w:pPr>
      <w:r w:rsidRPr="00C65EF1">
        <w:rPr>
          <w:i/>
        </w:rPr>
        <w:t>Descrivere infine le soluzioni proposte per la gestione del rischio, della qualità e della flessibilità al fine anche di fronteggiare al meglio lo svolgimento delle attività in caso di picchi</w:t>
      </w:r>
      <w:r w:rsidR="00362C94">
        <w:rPr>
          <w:i/>
        </w:rPr>
        <w:t>, urgenze,</w:t>
      </w:r>
      <w:r w:rsidRPr="00C65EF1">
        <w:rPr>
          <w:i/>
        </w:rPr>
        <w:t>ecc.</w:t>
      </w:r>
      <w:r w:rsidR="00F27414">
        <w:rPr>
          <w:i/>
        </w:rPr>
        <w:t>)</w:t>
      </w:r>
    </w:p>
    <w:p w:rsidR="00C65EF1" w:rsidRDefault="00C65EF1" w:rsidP="00C65EF1">
      <w:pPr>
        <w:pStyle w:val="Default"/>
        <w:ind w:left="284" w:hanging="284"/>
        <w:jc w:val="both"/>
      </w:pPr>
    </w:p>
    <w:p w:rsidR="00C65EF1" w:rsidRPr="00C65EF1" w:rsidRDefault="00C65EF1" w:rsidP="00C65EF1">
      <w:pPr>
        <w:pStyle w:val="Default"/>
        <w:ind w:left="284" w:hanging="284"/>
        <w:jc w:val="both"/>
      </w:pPr>
      <w:r>
        <w:t>5</w:t>
      </w:r>
      <w:r>
        <w:tab/>
      </w:r>
      <w:r w:rsidRPr="00C65EF1">
        <w:rPr>
          <w:lang w:eastAsia="it-IT"/>
        </w:rPr>
        <w:t>COMPOSIZIONE QUALITATIVA E DIMENSIONAMENTO DEL GRUPPO</w:t>
      </w:r>
    </w:p>
    <w:p w:rsidR="00C65EF1" w:rsidRDefault="00C65EF1" w:rsidP="00C65EF1">
      <w:pPr>
        <w:pStyle w:val="Default"/>
        <w:ind w:left="284" w:hanging="284"/>
        <w:jc w:val="both"/>
        <w:rPr>
          <w:i/>
        </w:rPr>
      </w:pPr>
      <w:r>
        <w:tab/>
      </w:r>
      <w:r w:rsidR="00B030D7">
        <w:t>(</w:t>
      </w:r>
      <w:r w:rsidRPr="00C65EF1">
        <w:rPr>
          <w:i/>
        </w:rPr>
        <w:t>Descrivere la composizione del team di lavoro, in termini qualitativi e dimensionali, in coerenza con le richieste ed i livelli di servizio richiesti dalla Stazione Appaltante. In particolare dovranno essere dettagliate il numero ed il mix di risorse complessive qualificate con indicazione</w:t>
      </w:r>
      <w:r w:rsidR="00F27414">
        <w:rPr>
          <w:i/>
        </w:rPr>
        <w:t xml:space="preserve"> delle certificazioni e diplomi posseduti</w:t>
      </w:r>
      <w:r w:rsidR="00B030D7">
        <w:rPr>
          <w:i/>
        </w:rPr>
        <w:t>)</w:t>
      </w:r>
      <w:r w:rsidR="00F27414">
        <w:rPr>
          <w:i/>
        </w:rPr>
        <w:t>.</w:t>
      </w:r>
    </w:p>
    <w:p w:rsidR="00C65EF1" w:rsidRDefault="00C65EF1" w:rsidP="00C65EF1">
      <w:pPr>
        <w:pStyle w:val="Default"/>
        <w:ind w:left="284" w:hanging="284"/>
        <w:jc w:val="both"/>
        <w:rPr>
          <w:i/>
        </w:rPr>
      </w:pPr>
    </w:p>
    <w:p w:rsidR="00C65EF1" w:rsidRDefault="00C65EF1" w:rsidP="00C65EF1">
      <w:pPr>
        <w:pStyle w:val="Default"/>
        <w:ind w:left="284" w:hanging="284"/>
        <w:jc w:val="both"/>
        <w:rPr>
          <w:lang w:eastAsia="it-IT"/>
        </w:rPr>
      </w:pPr>
      <w:r w:rsidRPr="00C65EF1">
        <w:t>6</w:t>
      </w:r>
      <w:r w:rsidRPr="00C65EF1">
        <w:tab/>
      </w:r>
      <w:r w:rsidRPr="00C65EF1">
        <w:rPr>
          <w:lang w:eastAsia="it-IT"/>
        </w:rPr>
        <w:t xml:space="preserve">LIVELLI </w:t>
      </w:r>
      <w:proofErr w:type="spellStart"/>
      <w:r w:rsidRPr="00C65EF1">
        <w:rPr>
          <w:lang w:eastAsia="it-IT"/>
        </w:rPr>
        <w:t>DI</w:t>
      </w:r>
      <w:proofErr w:type="spellEnd"/>
      <w:r w:rsidRPr="00C65EF1">
        <w:rPr>
          <w:lang w:eastAsia="it-IT"/>
        </w:rPr>
        <w:t xml:space="preserve"> SERVIZIO E PIANO QUALITÀ</w:t>
      </w:r>
    </w:p>
    <w:p w:rsidR="00C65EF1" w:rsidRPr="005A5AAC" w:rsidRDefault="00C65EF1" w:rsidP="00C65EF1">
      <w:pPr>
        <w:pStyle w:val="Default"/>
        <w:ind w:left="284" w:hanging="284"/>
        <w:jc w:val="both"/>
        <w:rPr>
          <w:i/>
        </w:rPr>
      </w:pPr>
      <w:r>
        <w:rPr>
          <w:lang w:eastAsia="it-IT"/>
        </w:rPr>
        <w:tab/>
      </w:r>
      <w:r w:rsidR="00B030D7">
        <w:rPr>
          <w:lang w:eastAsia="it-IT"/>
        </w:rPr>
        <w:t>(</w:t>
      </w:r>
      <w:r w:rsidRPr="005A5AAC">
        <w:rPr>
          <w:i/>
          <w:lang w:eastAsia="it-IT"/>
        </w:rPr>
        <w:t xml:space="preserve">Descrivere i livelli di servizio offerti con particolare riferimento anche a quelli migliorativi rispetto ai Service </w:t>
      </w:r>
      <w:proofErr w:type="spellStart"/>
      <w:r w:rsidRPr="005A5AAC">
        <w:rPr>
          <w:i/>
          <w:lang w:eastAsia="it-IT"/>
        </w:rPr>
        <w:t>Level</w:t>
      </w:r>
      <w:proofErr w:type="spellEnd"/>
      <w:r w:rsidRPr="005A5AAC">
        <w:rPr>
          <w:i/>
          <w:lang w:eastAsia="it-IT"/>
        </w:rPr>
        <w:t xml:space="preserve"> Agreement (SLA)</w:t>
      </w:r>
      <w:r w:rsidR="005A5AAC" w:rsidRPr="005A5AAC">
        <w:rPr>
          <w:i/>
          <w:lang w:eastAsia="it-IT"/>
        </w:rPr>
        <w:t xml:space="preserve"> pre</w:t>
      </w:r>
      <w:r w:rsidR="00DA29E7">
        <w:rPr>
          <w:i/>
          <w:lang w:eastAsia="it-IT"/>
        </w:rPr>
        <w:t>vist</w:t>
      </w:r>
      <w:r w:rsidR="005A5AAC" w:rsidRPr="005A5AAC">
        <w:rPr>
          <w:i/>
          <w:lang w:eastAsia="it-IT"/>
        </w:rPr>
        <w:t>i nella documentazione di gara.</w:t>
      </w:r>
      <w:r w:rsidR="00DA29E7">
        <w:rPr>
          <w:i/>
          <w:lang w:eastAsia="it-IT"/>
        </w:rPr>
        <w:t xml:space="preserve"> Inoltre dovranno</w:t>
      </w:r>
      <w:r w:rsidR="00EE0533">
        <w:rPr>
          <w:i/>
          <w:lang w:eastAsia="it-IT"/>
        </w:rPr>
        <w:t xml:space="preserve"> essere descritt</w:t>
      </w:r>
      <w:r w:rsidR="00F47C03">
        <w:rPr>
          <w:i/>
          <w:lang w:eastAsia="it-IT"/>
        </w:rPr>
        <w:t>e</w:t>
      </w:r>
      <w:r w:rsidR="00EE0533">
        <w:rPr>
          <w:i/>
          <w:lang w:eastAsia="it-IT"/>
        </w:rPr>
        <w:t xml:space="preserve"> l</w:t>
      </w:r>
      <w:r w:rsidR="00DA29E7">
        <w:rPr>
          <w:i/>
          <w:lang w:eastAsia="it-IT"/>
        </w:rPr>
        <w:t>e</w:t>
      </w:r>
      <w:r w:rsidR="00EE0533">
        <w:rPr>
          <w:i/>
          <w:lang w:eastAsia="it-IT"/>
        </w:rPr>
        <w:t xml:space="preserve"> propos</w:t>
      </w:r>
      <w:r w:rsidR="00DA29E7">
        <w:rPr>
          <w:i/>
          <w:lang w:eastAsia="it-IT"/>
        </w:rPr>
        <w:t>te</w:t>
      </w:r>
      <w:r w:rsidR="00EE0533">
        <w:rPr>
          <w:i/>
          <w:lang w:eastAsia="it-IT"/>
        </w:rPr>
        <w:t xml:space="preserve"> sugli indicatori di</w:t>
      </w:r>
      <w:r w:rsidR="00362C94">
        <w:rPr>
          <w:i/>
          <w:lang w:eastAsia="it-IT"/>
        </w:rPr>
        <w:t xml:space="preserve"> </w:t>
      </w:r>
      <w:r w:rsidR="00EE0533">
        <w:rPr>
          <w:i/>
          <w:lang w:eastAsia="it-IT"/>
        </w:rPr>
        <w:t>qualità nonché gli strumenti per il governo ed il monitoraggio</w:t>
      </w:r>
      <w:r w:rsidR="00362C94">
        <w:rPr>
          <w:i/>
          <w:lang w:eastAsia="it-IT"/>
        </w:rPr>
        <w:t xml:space="preserve"> delle attività di MAC/MEV e nuovi sviluppi software. Descriver</w:t>
      </w:r>
      <w:r w:rsidR="00DA29E7">
        <w:rPr>
          <w:i/>
          <w:lang w:eastAsia="it-IT"/>
        </w:rPr>
        <w:t>e</w:t>
      </w:r>
      <w:r w:rsidR="00362C94">
        <w:rPr>
          <w:i/>
          <w:lang w:eastAsia="it-IT"/>
        </w:rPr>
        <w:t xml:space="preserve"> inoltre il numero </w:t>
      </w:r>
      <w:r w:rsidR="00362C94">
        <w:rPr>
          <w:i/>
          <w:lang w:eastAsia="it-IT"/>
        </w:rPr>
        <w:lastRenderedPageBreak/>
        <w:t>medio di corsi di formazione del team proposto, il tempo massimo di disponibilità o sostituzione delle risorse. Descrivere la proposta per assicurare la qualità, l’efficienza e la continuità del servizio, con particolare riferimento ai servizi di carattere continuativo e/o ad elevata visibilità/priorità per IPZS, indicando anche le soluzioni tecniche per assicurare efficacia del servizio MAC/MEV in termini di modalità organizzative, di strumenti e di risorse proposte</w:t>
      </w:r>
      <w:r w:rsidR="00B030D7">
        <w:rPr>
          <w:i/>
          <w:lang w:eastAsia="it-IT"/>
        </w:rPr>
        <w:t>)</w:t>
      </w:r>
      <w:r w:rsidR="00362C94">
        <w:rPr>
          <w:i/>
          <w:lang w:eastAsia="it-IT"/>
        </w:rPr>
        <w:t xml:space="preserve">. </w:t>
      </w:r>
    </w:p>
    <w:p w:rsidR="00EE0533" w:rsidRDefault="00EE0533" w:rsidP="00C44A1E">
      <w:pPr>
        <w:pStyle w:val="Default"/>
        <w:jc w:val="both"/>
      </w:pPr>
    </w:p>
    <w:p w:rsidR="00C44A1E" w:rsidRDefault="002B3E5A" w:rsidP="00C44A1E">
      <w:pPr>
        <w:pStyle w:val="Default"/>
        <w:jc w:val="both"/>
      </w:pPr>
      <w:r>
        <w:t xml:space="preserve">6.1 </w:t>
      </w:r>
      <w:r w:rsidR="00F35E63">
        <w:t xml:space="preserve">PROPOSTA </w:t>
      </w:r>
      <w:proofErr w:type="spellStart"/>
      <w:r w:rsidR="00F35E63">
        <w:t>DI</w:t>
      </w:r>
      <w:proofErr w:type="spellEnd"/>
      <w:r w:rsidR="00F35E63">
        <w:t xml:space="preserve"> </w:t>
      </w:r>
      <w:r w:rsidR="00C44A1E">
        <w:t xml:space="preserve">AFFIANCAMENTO  INIZIO </w:t>
      </w:r>
      <w:r w:rsidR="00F35E63">
        <w:t>E</w:t>
      </w:r>
      <w:r w:rsidR="00C44A1E">
        <w:t xml:space="preserve">  FINE FORNITURA</w:t>
      </w:r>
    </w:p>
    <w:p w:rsidR="00C44A1E" w:rsidRDefault="00C44A1E" w:rsidP="00C44A1E">
      <w:pPr>
        <w:pStyle w:val="Default"/>
        <w:ind w:left="284"/>
        <w:jc w:val="both"/>
        <w:rPr>
          <w:i/>
        </w:rPr>
      </w:pPr>
      <w:r w:rsidRPr="00C44A1E">
        <w:rPr>
          <w:i/>
        </w:rPr>
        <w:t xml:space="preserve">(Descrivere l’organizzazione, la metodologia e il piano delle attività proposti per la presa in carico dei servizi </w:t>
      </w:r>
      <w:r w:rsidR="002B3E5A">
        <w:rPr>
          <w:i/>
        </w:rPr>
        <w:t xml:space="preserve">nella fase di inizio fornitura </w:t>
      </w:r>
      <w:r w:rsidRPr="00C44A1E">
        <w:rPr>
          <w:i/>
        </w:rPr>
        <w:t>e per le attività</w:t>
      </w:r>
      <w:r w:rsidR="002B3E5A">
        <w:rPr>
          <w:i/>
        </w:rPr>
        <w:t xml:space="preserve"> di trasferimento del </w:t>
      </w:r>
      <w:proofErr w:type="spellStart"/>
      <w:r w:rsidR="002B3E5A">
        <w:rPr>
          <w:i/>
        </w:rPr>
        <w:t>know</w:t>
      </w:r>
      <w:proofErr w:type="spellEnd"/>
      <w:r w:rsidR="002B3E5A">
        <w:rPr>
          <w:i/>
        </w:rPr>
        <w:t xml:space="preserve"> </w:t>
      </w:r>
      <w:proofErr w:type="spellStart"/>
      <w:r w:rsidR="002B3E5A">
        <w:rPr>
          <w:i/>
        </w:rPr>
        <w:t>how</w:t>
      </w:r>
      <w:proofErr w:type="spellEnd"/>
      <w:r w:rsidR="002B3E5A">
        <w:rPr>
          <w:i/>
        </w:rPr>
        <w:t xml:space="preserve"> nella fase di fine fornitura.</w:t>
      </w:r>
    </w:p>
    <w:p w:rsidR="006F39F5" w:rsidRDefault="006F39F5" w:rsidP="00C44A1E">
      <w:pPr>
        <w:pStyle w:val="Default"/>
        <w:ind w:left="284"/>
        <w:jc w:val="both"/>
        <w:rPr>
          <w:i/>
        </w:rPr>
      </w:pPr>
      <w:r>
        <w:rPr>
          <w:i/>
        </w:rPr>
        <w:t>Si precisa che tutte le soluzioni proposte devono essere nella piena disponibilità del Fornitore e senza oneri aggiuntivi per IPZS.</w:t>
      </w:r>
      <w:r w:rsidR="002B3E5A">
        <w:rPr>
          <w:i/>
        </w:rPr>
        <w:t xml:space="preserve"> In particolare dovranno essere indicati il numero di giornate per la presa in carico della fornitura, per l’affiancamento delle risorse, il mix e dimensionamento dei profili professionali per la presa in carico</w:t>
      </w:r>
      <w:r w:rsidR="004851BB">
        <w:rPr>
          <w:i/>
        </w:rPr>
        <w:t>)</w:t>
      </w:r>
      <w:r w:rsidR="002B3E5A">
        <w:rPr>
          <w:i/>
        </w:rPr>
        <w:t>.</w:t>
      </w:r>
    </w:p>
    <w:p w:rsidR="002B3E5A" w:rsidRDefault="002B3E5A" w:rsidP="00C44A1E">
      <w:pPr>
        <w:pStyle w:val="Default"/>
        <w:jc w:val="both"/>
      </w:pPr>
    </w:p>
    <w:p w:rsidR="00C44A1E" w:rsidRDefault="002B3E5A" w:rsidP="00C44A1E">
      <w:pPr>
        <w:pStyle w:val="Default"/>
        <w:jc w:val="both"/>
      </w:pPr>
      <w:r>
        <w:t>6.2</w:t>
      </w:r>
      <w:r w:rsidR="00C44A1E">
        <w:t xml:space="preserve"> SOLUZIONI MIGLIORATIVE PROPOSTE E STRUMENTI A SUPPORTO</w:t>
      </w:r>
    </w:p>
    <w:p w:rsidR="00C44A1E" w:rsidRDefault="00650290" w:rsidP="00F35E63">
      <w:pPr>
        <w:pStyle w:val="Default"/>
        <w:ind w:left="284"/>
        <w:jc w:val="both"/>
        <w:rPr>
          <w:i/>
        </w:rPr>
      </w:pPr>
      <w:r>
        <w:rPr>
          <w:i/>
        </w:rPr>
        <w:t>(</w:t>
      </w:r>
      <w:r w:rsidR="00C44A1E" w:rsidRPr="006F39F5">
        <w:rPr>
          <w:i/>
        </w:rPr>
        <w:t>Descrivere la soluzione che il fornitore si impegna a realizza</w:t>
      </w:r>
      <w:r w:rsidR="004851BB">
        <w:rPr>
          <w:i/>
        </w:rPr>
        <w:t>r</w:t>
      </w:r>
      <w:r w:rsidR="00C44A1E" w:rsidRPr="006F39F5">
        <w:rPr>
          <w:i/>
        </w:rPr>
        <w:t>e e a rendere disponibile per l’intera durata contrattuale, senza oneri aggiuntivi per l’Istituto, in relazione agli strumenti di IT Management</w:t>
      </w:r>
      <w:r w:rsidR="006F39F5" w:rsidRPr="006F39F5">
        <w:rPr>
          <w:i/>
        </w:rPr>
        <w:t xml:space="preserve"> a supporto dell’erogazione dei servizi</w:t>
      </w:r>
    </w:p>
    <w:p w:rsidR="00F35E63" w:rsidRDefault="006F39F5" w:rsidP="00F27414">
      <w:pPr>
        <w:pStyle w:val="Default"/>
        <w:ind w:left="284"/>
        <w:jc w:val="both"/>
        <w:rPr>
          <w:i/>
        </w:rPr>
      </w:pPr>
      <w:r w:rsidRPr="006F39F5">
        <w:rPr>
          <w:i/>
        </w:rPr>
        <w:t xml:space="preserve">Descrivere le proposte di ulteriori migliorie che il concorrente si </w:t>
      </w:r>
      <w:r w:rsidR="004851BB">
        <w:rPr>
          <w:i/>
        </w:rPr>
        <w:t>i</w:t>
      </w:r>
      <w:r w:rsidR="00F35E63">
        <w:rPr>
          <w:i/>
        </w:rPr>
        <w:t>mpegna a mettere in opera</w:t>
      </w:r>
      <w:r w:rsidRPr="006F39F5">
        <w:rPr>
          <w:i/>
        </w:rPr>
        <w:t xml:space="preserve"> per meglio rispondere agli ob</w:t>
      </w:r>
      <w:r w:rsidR="00650290">
        <w:rPr>
          <w:i/>
        </w:rPr>
        <w:t>iettive dalla fornitura).</w:t>
      </w:r>
    </w:p>
    <w:sectPr w:rsidR="00F35E63" w:rsidSect="00383CB9">
      <w:pgSz w:w="12240" w:h="15840"/>
      <w:pgMar w:top="1417" w:right="1134" w:bottom="1134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963BA8"/>
    <w:multiLevelType w:val="hybridMultilevel"/>
    <w:tmpl w:val="7F5FB60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D7A90FA"/>
    <w:multiLevelType w:val="hybridMultilevel"/>
    <w:tmpl w:val="79DD87C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16077A1"/>
    <w:multiLevelType w:val="hybridMultilevel"/>
    <w:tmpl w:val="1206E504"/>
    <w:lvl w:ilvl="0" w:tplc="F86E24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E66FC2"/>
    <w:multiLevelType w:val="hybridMultilevel"/>
    <w:tmpl w:val="8B965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C263E"/>
    <w:multiLevelType w:val="hybridMultilevel"/>
    <w:tmpl w:val="A05205C0"/>
    <w:lvl w:ilvl="0" w:tplc="4DC033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92F14"/>
    <w:rsid w:val="0001665E"/>
    <w:rsid w:val="00016FBF"/>
    <w:rsid w:val="000366FA"/>
    <w:rsid w:val="00046DF4"/>
    <w:rsid w:val="00070AC9"/>
    <w:rsid w:val="000B4879"/>
    <w:rsid w:val="000D5F5F"/>
    <w:rsid w:val="000F5B29"/>
    <w:rsid w:val="00132EAE"/>
    <w:rsid w:val="00161235"/>
    <w:rsid w:val="00171A7C"/>
    <w:rsid w:val="001822F5"/>
    <w:rsid w:val="0019399A"/>
    <w:rsid w:val="00194250"/>
    <w:rsid w:val="001976FF"/>
    <w:rsid w:val="001D4DA9"/>
    <w:rsid w:val="001E718D"/>
    <w:rsid w:val="001F5DF4"/>
    <w:rsid w:val="002215DC"/>
    <w:rsid w:val="002424D1"/>
    <w:rsid w:val="00250F3A"/>
    <w:rsid w:val="0027023A"/>
    <w:rsid w:val="00271DD9"/>
    <w:rsid w:val="00280F91"/>
    <w:rsid w:val="00295BB8"/>
    <w:rsid w:val="002A203E"/>
    <w:rsid w:val="002B092B"/>
    <w:rsid w:val="002B3E5A"/>
    <w:rsid w:val="00306CE9"/>
    <w:rsid w:val="00362C94"/>
    <w:rsid w:val="00383CB9"/>
    <w:rsid w:val="00396831"/>
    <w:rsid w:val="003E1289"/>
    <w:rsid w:val="003E3623"/>
    <w:rsid w:val="004300B6"/>
    <w:rsid w:val="004851BB"/>
    <w:rsid w:val="004B65E4"/>
    <w:rsid w:val="004D6697"/>
    <w:rsid w:val="004F4AF6"/>
    <w:rsid w:val="004F526D"/>
    <w:rsid w:val="00515111"/>
    <w:rsid w:val="0055381B"/>
    <w:rsid w:val="005623D3"/>
    <w:rsid w:val="005A5AAC"/>
    <w:rsid w:val="00613A76"/>
    <w:rsid w:val="00640E5F"/>
    <w:rsid w:val="00647CF6"/>
    <w:rsid w:val="00650290"/>
    <w:rsid w:val="00650E39"/>
    <w:rsid w:val="0065192C"/>
    <w:rsid w:val="00691C5C"/>
    <w:rsid w:val="00695F91"/>
    <w:rsid w:val="006C1659"/>
    <w:rsid w:val="006E7451"/>
    <w:rsid w:val="006F39F5"/>
    <w:rsid w:val="00737724"/>
    <w:rsid w:val="007403A2"/>
    <w:rsid w:val="0075414A"/>
    <w:rsid w:val="00761926"/>
    <w:rsid w:val="00774908"/>
    <w:rsid w:val="007821D2"/>
    <w:rsid w:val="0079586B"/>
    <w:rsid w:val="007A45B4"/>
    <w:rsid w:val="007B486E"/>
    <w:rsid w:val="007B6B87"/>
    <w:rsid w:val="00807F7C"/>
    <w:rsid w:val="008207AC"/>
    <w:rsid w:val="00826020"/>
    <w:rsid w:val="0084211A"/>
    <w:rsid w:val="008653CB"/>
    <w:rsid w:val="00892F14"/>
    <w:rsid w:val="008B3B75"/>
    <w:rsid w:val="008E0596"/>
    <w:rsid w:val="008E11A9"/>
    <w:rsid w:val="008E5596"/>
    <w:rsid w:val="00900AA8"/>
    <w:rsid w:val="0099447E"/>
    <w:rsid w:val="009A020A"/>
    <w:rsid w:val="009C7BEA"/>
    <w:rsid w:val="009F2CC1"/>
    <w:rsid w:val="00A12A46"/>
    <w:rsid w:val="00A23606"/>
    <w:rsid w:val="00AA6977"/>
    <w:rsid w:val="00AB17C7"/>
    <w:rsid w:val="00AD424E"/>
    <w:rsid w:val="00AE7570"/>
    <w:rsid w:val="00B030D7"/>
    <w:rsid w:val="00B20DBD"/>
    <w:rsid w:val="00B66917"/>
    <w:rsid w:val="00B93A1B"/>
    <w:rsid w:val="00BC0F85"/>
    <w:rsid w:val="00BD1664"/>
    <w:rsid w:val="00C12D52"/>
    <w:rsid w:val="00C13D97"/>
    <w:rsid w:val="00C35F60"/>
    <w:rsid w:val="00C43558"/>
    <w:rsid w:val="00C44A1E"/>
    <w:rsid w:val="00C65EF1"/>
    <w:rsid w:val="00C861F0"/>
    <w:rsid w:val="00CA660F"/>
    <w:rsid w:val="00CD570D"/>
    <w:rsid w:val="00CE4A39"/>
    <w:rsid w:val="00CE7212"/>
    <w:rsid w:val="00D16726"/>
    <w:rsid w:val="00D26BA6"/>
    <w:rsid w:val="00D50FBA"/>
    <w:rsid w:val="00D61522"/>
    <w:rsid w:val="00DA1663"/>
    <w:rsid w:val="00DA29E7"/>
    <w:rsid w:val="00DD308C"/>
    <w:rsid w:val="00DD60E6"/>
    <w:rsid w:val="00E2679A"/>
    <w:rsid w:val="00E46343"/>
    <w:rsid w:val="00E507C0"/>
    <w:rsid w:val="00E6142F"/>
    <w:rsid w:val="00E66ACE"/>
    <w:rsid w:val="00E86A31"/>
    <w:rsid w:val="00EA4AF5"/>
    <w:rsid w:val="00EB3757"/>
    <w:rsid w:val="00ED0186"/>
    <w:rsid w:val="00ED3826"/>
    <w:rsid w:val="00ED7846"/>
    <w:rsid w:val="00EE0533"/>
    <w:rsid w:val="00EF3639"/>
    <w:rsid w:val="00F0765D"/>
    <w:rsid w:val="00F14503"/>
    <w:rsid w:val="00F27414"/>
    <w:rsid w:val="00F35E63"/>
    <w:rsid w:val="00F44663"/>
    <w:rsid w:val="00F47C03"/>
    <w:rsid w:val="00F65CAC"/>
    <w:rsid w:val="00F814F2"/>
    <w:rsid w:val="00F954D8"/>
    <w:rsid w:val="00F96830"/>
    <w:rsid w:val="00FC4460"/>
    <w:rsid w:val="00FE2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4DA9"/>
    <w:rPr>
      <w:rFonts w:ascii="Times New Roman" w:eastAsia="Times New Roman" w:hAnsi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892F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AA69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AA6977"/>
    <w:rPr>
      <w:rFonts w:ascii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F2CC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F2CC1"/>
    <w:rPr>
      <w:rFonts w:ascii="Tahoma" w:hAnsi="Tahoma" w:cs="Tahoma"/>
      <w:sz w:val="16"/>
      <w:szCs w:val="16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rsid w:val="00CE4A39"/>
    <w:pPr>
      <w:jc w:val="both"/>
    </w:pPr>
    <w:rPr>
      <w:sz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CE4A39"/>
    <w:rPr>
      <w:rFonts w:ascii="Times New Roman" w:hAnsi="Times New Roman" w:cs="Times New Roman"/>
      <w:sz w:val="20"/>
      <w:szCs w:val="20"/>
    </w:rPr>
  </w:style>
  <w:style w:type="table" w:styleId="Grigliatabella">
    <w:name w:val="Table Grid"/>
    <w:basedOn w:val="Tabellanormale"/>
    <w:locked/>
    <w:rsid w:val="00DD30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6C3BD-469D-4C52-8AC7-BAB2D4F4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b.belardinucci</dc:creator>
  <cp:lastModifiedBy> </cp:lastModifiedBy>
  <cp:revision>11</cp:revision>
  <cp:lastPrinted>2010-04-28T12:37:00Z</cp:lastPrinted>
  <dcterms:created xsi:type="dcterms:W3CDTF">2010-05-13T17:43:00Z</dcterms:created>
  <dcterms:modified xsi:type="dcterms:W3CDTF">2010-05-24T15:16:00Z</dcterms:modified>
</cp:coreProperties>
</file>